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E624A9" w14:textId="77777777" w:rsidR="00970E75" w:rsidRPr="009523DF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9523DF">
        <w:rPr>
          <w:rFonts w:ascii="Times New Roman" w:eastAsia="Calibri" w:hAnsi="Times New Roman" w:cs="Times New Roman"/>
          <w:b/>
          <w:sz w:val="28"/>
        </w:rPr>
        <w:t>Контрольная точка №1</w:t>
      </w:r>
      <w:r w:rsidRPr="009523DF">
        <w:rPr>
          <w:rFonts w:ascii="Times New Roman" w:eastAsia="Calibri" w:hAnsi="Times New Roman" w:cs="Times New Roman"/>
          <w:b/>
          <w:sz w:val="28"/>
        </w:rPr>
        <w:br/>
        <w:t xml:space="preserve">по дисциплине </w:t>
      </w:r>
      <w:r w:rsidRPr="009523DF">
        <w:rPr>
          <w:rFonts w:ascii="Times New Roman" w:eastAsia="Calibri" w:hAnsi="Times New Roman" w:cs="Times New Roman"/>
          <w:b/>
          <w:sz w:val="28"/>
        </w:rPr>
        <w:br/>
        <w:t xml:space="preserve"> Социально-экономическая статистика</w:t>
      </w:r>
    </w:p>
    <w:p w14:paraId="25195504" w14:textId="77777777" w:rsidR="00970E75" w:rsidRPr="009523DF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9523DF">
        <w:rPr>
          <w:rFonts w:ascii="Times New Roman" w:eastAsia="Calibri" w:hAnsi="Times New Roman" w:cs="Times New Roman"/>
          <w:b/>
          <w:sz w:val="28"/>
        </w:rPr>
        <w:t xml:space="preserve">Студента </w:t>
      </w:r>
      <w:r w:rsidRPr="009523DF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9523DF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9523DF">
        <w:rPr>
          <w:rFonts w:ascii="Times New Roman" w:eastAsia="Calibri" w:hAnsi="Times New Roman" w:cs="Times New Roman"/>
          <w:b/>
          <w:sz w:val="28"/>
        </w:rPr>
        <w:t xml:space="preserve">курса </w:t>
      </w:r>
      <w:r w:rsidRPr="009523DF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9523DF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9523DF">
        <w:rPr>
          <w:rFonts w:ascii="Times New Roman" w:eastAsia="Calibri" w:hAnsi="Times New Roman" w:cs="Times New Roman"/>
          <w:b/>
          <w:sz w:val="28"/>
        </w:rPr>
        <w:t>группы</w:t>
      </w:r>
    </w:p>
    <w:p w14:paraId="57DF4A67" w14:textId="77777777" w:rsidR="00970E75" w:rsidRPr="009523DF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2C3623FE" w14:textId="77777777" w:rsidR="00970E75" w:rsidRPr="009523DF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  <w:r w:rsidRPr="009523DF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9523DF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9523DF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9523DF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9523DF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9523DF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9523DF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9523DF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9523DF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9523DF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9523DF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9523DF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9523DF">
        <w:rPr>
          <w:rFonts w:ascii="Times New Roman" w:eastAsia="Calibri" w:hAnsi="Times New Roman" w:cs="Times New Roman"/>
          <w:b/>
          <w:sz w:val="28"/>
          <w:u w:val="single"/>
        </w:rPr>
        <w:tab/>
      </w:r>
    </w:p>
    <w:p w14:paraId="340F8132" w14:textId="77777777" w:rsidR="00970E75" w:rsidRPr="009523DF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9523DF">
        <w:rPr>
          <w:rFonts w:ascii="Times New Roman" w:eastAsia="Calibri" w:hAnsi="Times New Roman" w:cs="Times New Roman"/>
          <w:sz w:val="20"/>
        </w:rPr>
        <w:t>Фамилия Имя Отчество</w:t>
      </w:r>
    </w:p>
    <w:p w14:paraId="51DC1E4D" w14:textId="77777777" w:rsidR="00970E75" w:rsidRPr="009523DF" w:rsidRDefault="00970E75" w:rsidP="00502B3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83403A" w14:textId="77777777" w:rsidR="004D1A93" w:rsidRPr="009523DF" w:rsidRDefault="00196FB5" w:rsidP="00502B3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23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Вариант </w:t>
      </w:r>
      <w:r w:rsidR="003B423D" w:rsidRPr="009523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9523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</w:t>
      </w:r>
      <w:r w:rsidR="00782A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</w:p>
    <w:p w14:paraId="3A4392CA" w14:textId="77777777" w:rsidR="003B423D" w:rsidRPr="009523DF" w:rsidRDefault="003B423D" w:rsidP="00502B3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D631F2E" w14:textId="77777777" w:rsidR="002034A2" w:rsidRPr="009523DF" w:rsidRDefault="002034A2" w:rsidP="002034A2">
      <w:pPr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3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Институциональные единицы - резиденты других стран, основной функцией которых является осуществление экономических операций с резидентами данной страны, относятся к сектору…:</w:t>
      </w:r>
    </w:p>
    <w:p w14:paraId="6EB012B5" w14:textId="77777777" w:rsidR="002034A2" w:rsidRPr="009523DF" w:rsidRDefault="002034A2" w:rsidP="002034A2">
      <w:pPr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3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остальной мир;</w:t>
      </w:r>
    </w:p>
    <w:p w14:paraId="73CA9247" w14:textId="77777777" w:rsidR="002034A2" w:rsidRPr="009523DF" w:rsidRDefault="002034A2" w:rsidP="002034A2">
      <w:pPr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3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домашние хозяйства;</w:t>
      </w:r>
    </w:p>
    <w:p w14:paraId="3D5A969E" w14:textId="77777777" w:rsidR="002034A2" w:rsidRPr="009523DF" w:rsidRDefault="002034A2" w:rsidP="002034A2">
      <w:pPr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3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иностранные государственные учреждения;</w:t>
      </w:r>
    </w:p>
    <w:p w14:paraId="575109BB" w14:textId="77777777" w:rsidR="002034A2" w:rsidRPr="009523DF" w:rsidRDefault="002034A2" w:rsidP="002034A2">
      <w:pPr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3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иностранные финансовые учреждения;</w:t>
      </w:r>
    </w:p>
    <w:p w14:paraId="5AEF3F12" w14:textId="77777777" w:rsidR="002034A2" w:rsidRPr="009523DF" w:rsidRDefault="002034A2" w:rsidP="002034A2">
      <w:pPr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3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иностранные нефинансовые предприятия.</w:t>
      </w:r>
    </w:p>
    <w:p w14:paraId="27538436" w14:textId="77777777" w:rsidR="003B423D" w:rsidRPr="009523DF" w:rsidRDefault="003B423D" w:rsidP="003B423D">
      <w:pPr>
        <w:pStyle w:val="a3"/>
        <w:tabs>
          <w:tab w:val="left" w:pos="851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4A03C9F5" w14:textId="77777777" w:rsidR="002034A2" w:rsidRPr="009523DF" w:rsidRDefault="002034A2" w:rsidP="002034A2">
      <w:pPr>
        <w:pStyle w:val="a3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3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Имеются следующие данные о численности населения населенного пункта за год (чел.): численность населения на начало года: 241400, число родившихся: 3380, число умерших: 2680, прибыло на постоянное жительство:1800, убыло в другие населенные пункты: 600. Численность населения на конец года составит … чел.:</w:t>
      </w:r>
    </w:p>
    <w:p w14:paraId="0E679AA4" w14:textId="77777777" w:rsidR="002034A2" w:rsidRPr="009523DF" w:rsidRDefault="002034A2" w:rsidP="002034A2">
      <w:pPr>
        <w:pStyle w:val="a3"/>
        <w:numPr>
          <w:ilvl w:val="0"/>
          <w:numId w:val="5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3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243300;</w:t>
      </w:r>
    </w:p>
    <w:p w14:paraId="37A448DD" w14:textId="77777777" w:rsidR="002034A2" w:rsidRPr="009523DF" w:rsidRDefault="002034A2" w:rsidP="002034A2">
      <w:pPr>
        <w:pStyle w:val="a3"/>
        <w:numPr>
          <w:ilvl w:val="0"/>
          <w:numId w:val="5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3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242350;</w:t>
      </w:r>
    </w:p>
    <w:p w14:paraId="348C2479" w14:textId="77777777" w:rsidR="002034A2" w:rsidRPr="009523DF" w:rsidRDefault="002034A2" w:rsidP="002034A2">
      <w:pPr>
        <w:pStyle w:val="a3"/>
        <w:numPr>
          <w:ilvl w:val="0"/>
          <w:numId w:val="5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3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242500;</w:t>
      </w:r>
    </w:p>
    <w:p w14:paraId="7F5FF5CB" w14:textId="77777777" w:rsidR="002034A2" w:rsidRPr="009523DF" w:rsidRDefault="002034A2" w:rsidP="002034A2">
      <w:pPr>
        <w:pStyle w:val="a3"/>
        <w:numPr>
          <w:ilvl w:val="0"/>
          <w:numId w:val="5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3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243200.</w:t>
      </w:r>
    </w:p>
    <w:p w14:paraId="1F6563A9" w14:textId="77777777" w:rsidR="003B423D" w:rsidRPr="009523DF" w:rsidRDefault="003B423D" w:rsidP="003B423D">
      <w:pPr>
        <w:pStyle w:val="a3"/>
        <w:tabs>
          <w:tab w:val="left" w:pos="851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0FAD0810" w14:textId="77777777" w:rsidR="002034A2" w:rsidRPr="009523DF" w:rsidRDefault="002034A2" w:rsidP="002034A2">
      <w:pPr>
        <w:pStyle w:val="a3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3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Общий коэффициент смертности рассчитывается как ...</w:t>
      </w:r>
    </w:p>
    <w:p w14:paraId="7C1B1418" w14:textId="77777777" w:rsidR="002034A2" w:rsidRPr="009523DF" w:rsidRDefault="002034A2" w:rsidP="002034A2">
      <w:pPr>
        <w:numPr>
          <w:ilvl w:val="1"/>
          <w:numId w:val="6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523DF">
        <w:rPr>
          <w:rFonts w:ascii="Times New Roman" w:hAnsi="Times New Roman" w:cs="Times New Roman"/>
          <w:bCs/>
          <w:iCs/>
          <w:position w:val="-26"/>
          <w:sz w:val="28"/>
          <w:szCs w:val="28"/>
        </w:rPr>
        <w:object w:dxaOrig="1579" w:dyaOrig="640" w14:anchorId="2B8B5B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pt;height:30pt" o:ole="" fillcolor="window">
            <v:imagedata r:id="rId6" o:title=""/>
          </v:shape>
          <o:OLEObject Type="Embed" ProgID="Equation.3" ShapeID="_x0000_i1025" DrawAspect="Content" ObjectID="_1703501555" r:id="rId7"/>
        </w:object>
      </w:r>
    </w:p>
    <w:p w14:paraId="35DEC518" w14:textId="77777777" w:rsidR="002034A2" w:rsidRPr="009523DF" w:rsidRDefault="002034A2" w:rsidP="002034A2">
      <w:pPr>
        <w:numPr>
          <w:ilvl w:val="1"/>
          <w:numId w:val="6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523DF">
        <w:rPr>
          <w:rFonts w:ascii="Times New Roman" w:hAnsi="Times New Roman" w:cs="Times New Roman"/>
          <w:bCs/>
          <w:iCs/>
          <w:position w:val="-26"/>
          <w:sz w:val="28"/>
          <w:szCs w:val="28"/>
        </w:rPr>
        <w:object w:dxaOrig="5060" w:dyaOrig="640" w14:anchorId="1C482442">
          <v:shape id="_x0000_i1026" type="#_x0000_t75" style="width:253pt;height:30pt" o:ole="">
            <v:imagedata r:id="rId8" o:title=""/>
          </v:shape>
          <o:OLEObject Type="Embed" ProgID="Equation.3" ShapeID="_x0000_i1026" DrawAspect="Content" ObjectID="_1703501556" r:id="rId9"/>
        </w:object>
      </w:r>
    </w:p>
    <w:p w14:paraId="3E3C049B" w14:textId="77777777" w:rsidR="002034A2" w:rsidRPr="009523DF" w:rsidRDefault="002034A2" w:rsidP="002034A2">
      <w:pPr>
        <w:numPr>
          <w:ilvl w:val="1"/>
          <w:numId w:val="6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523DF">
        <w:rPr>
          <w:rFonts w:ascii="Times New Roman" w:hAnsi="Times New Roman" w:cs="Times New Roman"/>
          <w:bCs/>
          <w:iCs/>
          <w:position w:val="-26"/>
          <w:sz w:val="28"/>
          <w:szCs w:val="28"/>
        </w:rPr>
        <w:object w:dxaOrig="2059" w:dyaOrig="640" w14:anchorId="16A3C4DB">
          <v:shape id="_x0000_i1027" type="#_x0000_t75" style="width:102pt;height:30pt" o:ole="">
            <v:imagedata r:id="rId10" o:title=""/>
          </v:shape>
          <o:OLEObject Type="Embed" ProgID="Equation.3" ShapeID="_x0000_i1027" DrawAspect="Content" ObjectID="_1703501557" r:id="rId11"/>
        </w:object>
      </w:r>
    </w:p>
    <w:p w14:paraId="1F8994D0" w14:textId="77777777" w:rsidR="002034A2" w:rsidRPr="009523DF" w:rsidRDefault="002034A2" w:rsidP="002034A2">
      <w:pPr>
        <w:numPr>
          <w:ilvl w:val="1"/>
          <w:numId w:val="6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23DF">
        <w:rPr>
          <w:rFonts w:ascii="Times New Roman" w:hAnsi="Times New Roman" w:cs="Times New Roman"/>
          <w:bCs/>
          <w:iCs/>
          <w:position w:val="-26"/>
          <w:sz w:val="28"/>
          <w:szCs w:val="28"/>
        </w:rPr>
        <w:object w:dxaOrig="1579" w:dyaOrig="640" w14:anchorId="23C3C6F9">
          <v:shape id="_x0000_i1028" type="#_x0000_t75" style="width:80pt;height:30pt" o:ole="">
            <v:imagedata r:id="rId12" o:title=""/>
          </v:shape>
          <o:OLEObject Type="Embed" ProgID="Equation.3" ShapeID="_x0000_i1028" DrawAspect="Content" ObjectID="_1703501558" r:id="rId13"/>
        </w:object>
      </w:r>
    </w:p>
    <w:p w14:paraId="7C1EB59E" w14:textId="77777777" w:rsidR="002034A2" w:rsidRPr="009523DF" w:rsidRDefault="002034A2" w:rsidP="002034A2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412A683B" w14:textId="77777777" w:rsidR="002034A2" w:rsidRPr="009523DF" w:rsidRDefault="002034A2" w:rsidP="002034A2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3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Численность населения города на начало города составила 600 тыс. чел. За год естественный прирост составил 6 тыс. человек, число прибывших </w:t>
      </w:r>
      <w:r w:rsidRPr="009523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– 3 тыс. чел., число выбывших – 2 тыс. чел. Какова будет численность на конец года (тыс. чел.):</w:t>
      </w:r>
    </w:p>
    <w:p w14:paraId="12ED86C3" w14:textId="77777777" w:rsidR="002034A2" w:rsidRPr="009523DF" w:rsidRDefault="002034A2" w:rsidP="002034A2">
      <w:pPr>
        <w:numPr>
          <w:ilvl w:val="1"/>
          <w:numId w:val="7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9523DF">
        <w:rPr>
          <w:rFonts w:ascii="Times New Roman" w:eastAsia="Calibri" w:hAnsi="Times New Roman" w:cs="Times New Roman"/>
          <w:bCs/>
          <w:iCs/>
          <w:sz w:val="28"/>
        </w:rPr>
        <w:t>601;</w:t>
      </w:r>
    </w:p>
    <w:p w14:paraId="3D57ACD3" w14:textId="77777777" w:rsidR="002034A2" w:rsidRPr="009523DF" w:rsidRDefault="002034A2" w:rsidP="002034A2">
      <w:pPr>
        <w:numPr>
          <w:ilvl w:val="1"/>
          <w:numId w:val="7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9523DF">
        <w:rPr>
          <w:rFonts w:ascii="Times New Roman" w:eastAsia="Calibri" w:hAnsi="Times New Roman" w:cs="Times New Roman"/>
          <w:bCs/>
          <w:iCs/>
          <w:sz w:val="28"/>
        </w:rPr>
        <w:t>606;</w:t>
      </w:r>
    </w:p>
    <w:p w14:paraId="678DE727" w14:textId="77777777" w:rsidR="002034A2" w:rsidRPr="009523DF" w:rsidRDefault="002034A2" w:rsidP="002034A2">
      <w:pPr>
        <w:numPr>
          <w:ilvl w:val="1"/>
          <w:numId w:val="7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9523DF">
        <w:rPr>
          <w:rFonts w:ascii="Times New Roman" w:eastAsia="Calibri" w:hAnsi="Times New Roman" w:cs="Times New Roman"/>
          <w:bCs/>
          <w:iCs/>
          <w:sz w:val="28"/>
        </w:rPr>
        <w:t>607.</w:t>
      </w:r>
    </w:p>
    <w:p w14:paraId="49E9AE77" w14:textId="77777777" w:rsidR="003B423D" w:rsidRPr="009523DF" w:rsidRDefault="003B423D" w:rsidP="003B423D">
      <w:pPr>
        <w:tabs>
          <w:tab w:val="left" w:pos="1134"/>
        </w:tabs>
        <w:spacing w:after="0" w:line="276" w:lineRule="auto"/>
        <w:ind w:left="737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</w:p>
    <w:p w14:paraId="24D6E944" w14:textId="77777777" w:rsidR="002034A2" w:rsidRPr="009523DF" w:rsidRDefault="002034A2" w:rsidP="002034A2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3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Постоянное население – это:</w:t>
      </w:r>
    </w:p>
    <w:p w14:paraId="63BFADF8" w14:textId="77777777" w:rsidR="002034A2" w:rsidRPr="009523DF" w:rsidRDefault="002034A2" w:rsidP="002034A2">
      <w:pPr>
        <w:numPr>
          <w:ilvl w:val="1"/>
          <w:numId w:val="8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9523DF">
        <w:rPr>
          <w:rFonts w:ascii="Times New Roman" w:eastAsia="Calibri" w:hAnsi="Times New Roman" w:cs="Times New Roman"/>
          <w:bCs/>
          <w:iCs/>
          <w:sz w:val="28"/>
        </w:rPr>
        <w:t>лица, никогда не выезжавшие из данного населенного пункта;</w:t>
      </w:r>
    </w:p>
    <w:p w14:paraId="4B81DBE2" w14:textId="77777777" w:rsidR="002034A2" w:rsidRPr="009523DF" w:rsidRDefault="002034A2" w:rsidP="002034A2">
      <w:pPr>
        <w:numPr>
          <w:ilvl w:val="1"/>
          <w:numId w:val="8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9523DF">
        <w:rPr>
          <w:rFonts w:ascii="Times New Roman" w:eastAsia="Calibri" w:hAnsi="Times New Roman" w:cs="Times New Roman"/>
          <w:bCs/>
          <w:iCs/>
          <w:sz w:val="28"/>
        </w:rPr>
        <w:t>лица, имеющие постоянную прописку;</w:t>
      </w:r>
    </w:p>
    <w:p w14:paraId="4FDD504E" w14:textId="77777777" w:rsidR="002034A2" w:rsidRPr="009523DF" w:rsidRDefault="002034A2" w:rsidP="002034A2">
      <w:pPr>
        <w:numPr>
          <w:ilvl w:val="1"/>
          <w:numId w:val="8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9523DF">
        <w:rPr>
          <w:rFonts w:ascii="Times New Roman" w:eastAsia="Calibri" w:hAnsi="Times New Roman" w:cs="Times New Roman"/>
          <w:bCs/>
          <w:iCs/>
          <w:sz w:val="28"/>
        </w:rPr>
        <w:t xml:space="preserve">лица, обычно проживающие на данной территории, независимо от их местонахождения на момент учета </w:t>
      </w:r>
    </w:p>
    <w:p w14:paraId="785EAD0E" w14:textId="77777777" w:rsidR="002034A2" w:rsidRPr="009523DF" w:rsidRDefault="002034A2" w:rsidP="002034A2">
      <w:pPr>
        <w:numPr>
          <w:ilvl w:val="1"/>
          <w:numId w:val="8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9523DF">
        <w:rPr>
          <w:rFonts w:ascii="Times New Roman" w:eastAsia="Calibri" w:hAnsi="Times New Roman" w:cs="Times New Roman"/>
          <w:bCs/>
          <w:iCs/>
          <w:sz w:val="28"/>
        </w:rPr>
        <w:t xml:space="preserve">нет правильного ответа </w:t>
      </w:r>
    </w:p>
    <w:p w14:paraId="6321E16D" w14:textId="77777777" w:rsidR="002034A2" w:rsidRPr="009523DF" w:rsidRDefault="002034A2" w:rsidP="002034A2">
      <w:p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</w:p>
    <w:p w14:paraId="25D20FCE" w14:textId="77777777" w:rsidR="002034A2" w:rsidRPr="009523DF" w:rsidRDefault="002034A2" w:rsidP="002034A2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3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Экономически активное население включает:</w:t>
      </w:r>
    </w:p>
    <w:p w14:paraId="06B51952" w14:textId="77777777" w:rsidR="002034A2" w:rsidRPr="009523DF" w:rsidRDefault="002034A2" w:rsidP="002034A2">
      <w:pPr>
        <w:numPr>
          <w:ilvl w:val="1"/>
          <w:numId w:val="1"/>
        </w:num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9523DF">
        <w:rPr>
          <w:rFonts w:ascii="Times New Roman" w:eastAsia="Calibri" w:hAnsi="Times New Roman" w:cs="Times New Roman"/>
          <w:bCs/>
          <w:iCs/>
          <w:sz w:val="28"/>
          <w:szCs w:val="28"/>
        </w:rPr>
        <w:t>занятых в экономике;</w:t>
      </w:r>
    </w:p>
    <w:p w14:paraId="6C991D34" w14:textId="77777777" w:rsidR="002034A2" w:rsidRPr="009523DF" w:rsidRDefault="002034A2" w:rsidP="002034A2">
      <w:pPr>
        <w:numPr>
          <w:ilvl w:val="1"/>
          <w:numId w:val="1"/>
        </w:num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9523DF">
        <w:rPr>
          <w:rFonts w:ascii="Times New Roman" w:eastAsia="Calibri" w:hAnsi="Times New Roman" w:cs="Times New Roman"/>
          <w:bCs/>
          <w:iCs/>
          <w:sz w:val="28"/>
          <w:szCs w:val="28"/>
        </w:rPr>
        <w:t>занятых и безработных;</w:t>
      </w:r>
    </w:p>
    <w:p w14:paraId="4902397E" w14:textId="77777777" w:rsidR="002034A2" w:rsidRPr="009523DF" w:rsidRDefault="002034A2" w:rsidP="002034A2">
      <w:pPr>
        <w:numPr>
          <w:ilvl w:val="1"/>
          <w:numId w:val="1"/>
        </w:num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9523D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лиц обучающихся с отрывом от производства, занятых в экономике и безработных. </w:t>
      </w:r>
    </w:p>
    <w:p w14:paraId="75647C4C" w14:textId="77777777" w:rsidR="002034A2" w:rsidRPr="009523DF" w:rsidRDefault="002034A2" w:rsidP="002034A2">
      <w:pPr>
        <w:numPr>
          <w:ilvl w:val="1"/>
          <w:numId w:val="1"/>
        </w:num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9523DF">
        <w:rPr>
          <w:rFonts w:ascii="Times New Roman" w:eastAsia="Calibri" w:hAnsi="Times New Roman" w:cs="Times New Roman"/>
          <w:bCs/>
          <w:iCs/>
          <w:sz w:val="28"/>
          <w:szCs w:val="28"/>
        </w:rPr>
        <w:t>население, имеющее доход в любой форме</w:t>
      </w:r>
    </w:p>
    <w:p w14:paraId="2B017489" w14:textId="77777777" w:rsidR="003B423D" w:rsidRPr="009523DF" w:rsidRDefault="003B423D" w:rsidP="003B423D">
      <w:pPr>
        <w:pStyle w:val="a3"/>
        <w:tabs>
          <w:tab w:val="left" w:pos="851"/>
          <w:tab w:val="left" w:pos="993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71E0683C" w14:textId="77777777" w:rsidR="002034A2" w:rsidRPr="009523DF" w:rsidRDefault="002034A2" w:rsidP="002034A2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3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Известно, что в </w:t>
      </w:r>
      <w:smartTag w:uri="urn:schemas-microsoft-com:office:smarttags" w:element="metricconverter">
        <w:smartTagPr>
          <w:attr w:name="ProductID" w:val="2007 г"/>
        </w:smartTagPr>
        <w:r w:rsidRPr="009523DF">
          <w:rPr>
            <w:rFonts w:ascii="Times New Roman" w:eastAsia="Times New Roman" w:hAnsi="Times New Roman" w:cs="Times New Roman"/>
            <w:bCs/>
            <w:iCs/>
            <w:sz w:val="28"/>
            <w:szCs w:val="28"/>
            <w:lang w:eastAsia="ru-RU"/>
          </w:rPr>
          <w:t>2007 г</w:t>
        </w:r>
      </w:smartTag>
      <w:r w:rsidRPr="009523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численность занятых составила 5,6 млн человек, безработных – 336 тыс. человек, а численность населения региона – 10 млн человек. Уровень экономической активности населения региона составил (%):</w:t>
      </w:r>
    </w:p>
    <w:p w14:paraId="490BB60A" w14:textId="77777777" w:rsidR="002034A2" w:rsidRPr="009523DF" w:rsidRDefault="002034A2" w:rsidP="002034A2">
      <w:pPr>
        <w:numPr>
          <w:ilvl w:val="1"/>
          <w:numId w:val="9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9523DF">
        <w:rPr>
          <w:rFonts w:ascii="Times New Roman" w:eastAsia="Calibri" w:hAnsi="Times New Roman" w:cs="Times New Roman"/>
          <w:bCs/>
          <w:iCs/>
          <w:sz w:val="28"/>
        </w:rPr>
        <w:t>59,36;</w:t>
      </w:r>
    </w:p>
    <w:p w14:paraId="61537B5E" w14:textId="77777777" w:rsidR="002034A2" w:rsidRPr="009523DF" w:rsidRDefault="002034A2" w:rsidP="002034A2">
      <w:pPr>
        <w:numPr>
          <w:ilvl w:val="1"/>
          <w:numId w:val="9"/>
        </w:num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9523DF">
        <w:rPr>
          <w:rFonts w:ascii="Times New Roman" w:eastAsia="Calibri" w:hAnsi="Times New Roman" w:cs="Times New Roman"/>
          <w:bCs/>
          <w:iCs/>
          <w:sz w:val="28"/>
        </w:rPr>
        <w:t>6;</w:t>
      </w:r>
    </w:p>
    <w:p w14:paraId="5AB0A7E7" w14:textId="77777777" w:rsidR="002034A2" w:rsidRPr="009523DF" w:rsidRDefault="002034A2" w:rsidP="002034A2">
      <w:pPr>
        <w:numPr>
          <w:ilvl w:val="1"/>
          <w:numId w:val="9"/>
        </w:num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9523DF">
        <w:rPr>
          <w:rFonts w:ascii="Times New Roman" w:eastAsia="Calibri" w:hAnsi="Times New Roman" w:cs="Times New Roman"/>
          <w:bCs/>
          <w:iCs/>
          <w:sz w:val="28"/>
        </w:rPr>
        <w:t>56;</w:t>
      </w:r>
    </w:p>
    <w:p w14:paraId="46263231" w14:textId="77777777" w:rsidR="002034A2" w:rsidRPr="009523DF" w:rsidRDefault="002034A2" w:rsidP="002034A2">
      <w:pPr>
        <w:numPr>
          <w:ilvl w:val="1"/>
          <w:numId w:val="9"/>
        </w:num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9523DF">
        <w:rPr>
          <w:rFonts w:ascii="Times New Roman" w:eastAsia="Calibri" w:hAnsi="Times New Roman" w:cs="Times New Roman"/>
          <w:bCs/>
          <w:iCs/>
          <w:sz w:val="28"/>
        </w:rPr>
        <w:t>52,6.</w:t>
      </w:r>
    </w:p>
    <w:p w14:paraId="42606382" w14:textId="77777777" w:rsidR="002034A2" w:rsidRPr="009523DF" w:rsidRDefault="002034A2" w:rsidP="002034A2">
      <w:p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</w:p>
    <w:p w14:paraId="06D646AD" w14:textId="77777777" w:rsidR="002034A2" w:rsidRPr="009523DF" w:rsidRDefault="002034A2" w:rsidP="002034A2">
      <w:p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9523DF">
        <w:rPr>
          <w:rFonts w:ascii="Times New Roman" w:eastAsia="Calibri" w:hAnsi="Times New Roman" w:cs="Times New Roman"/>
          <w:bCs/>
          <w:iCs/>
          <w:sz w:val="28"/>
        </w:rPr>
        <w:br w:type="page"/>
      </w:r>
    </w:p>
    <w:p w14:paraId="65620328" w14:textId="77777777" w:rsidR="002034A2" w:rsidRPr="009523DF" w:rsidRDefault="002034A2" w:rsidP="002034A2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3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Имеются следующие условные данные за отчетный период: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046"/>
        <w:gridCol w:w="1525"/>
      </w:tblGrid>
      <w:tr w:rsidR="009523DF" w:rsidRPr="009523DF" w14:paraId="3346AD03" w14:textId="77777777" w:rsidTr="009523DF">
        <w:tc>
          <w:tcPr>
            <w:tcW w:w="8046" w:type="dxa"/>
          </w:tcPr>
          <w:p w14:paraId="7C200B17" w14:textId="77777777" w:rsidR="002034A2" w:rsidRPr="009523DF" w:rsidRDefault="002034A2" w:rsidP="002034A2">
            <w:pPr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23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 населения, тыс. чел.:</w:t>
            </w:r>
          </w:p>
        </w:tc>
        <w:tc>
          <w:tcPr>
            <w:tcW w:w="1525" w:type="dxa"/>
          </w:tcPr>
          <w:p w14:paraId="74567155" w14:textId="77777777" w:rsidR="002034A2" w:rsidRPr="009523DF" w:rsidRDefault="002034A2" w:rsidP="002034A2">
            <w:pPr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523DF" w:rsidRPr="009523DF" w14:paraId="1E5B713B" w14:textId="77777777" w:rsidTr="009523DF">
        <w:tc>
          <w:tcPr>
            <w:tcW w:w="8046" w:type="dxa"/>
          </w:tcPr>
          <w:p w14:paraId="39680B8E" w14:textId="77777777" w:rsidR="002034A2" w:rsidRPr="009523DF" w:rsidRDefault="002034A2" w:rsidP="002034A2">
            <w:pPr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23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на начало года</w:t>
            </w:r>
          </w:p>
        </w:tc>
        <w:tc>
          <w:tcPr>
            <w:tcW w:w="1525" w:type="dxa"/>
            <w:vAlign w:val="center"/>
          </w:tcPr>
          <w:p w14:paraId="67901AA7" w14:textId="77777777" w:rsidR="002034A2" w:rsidRPr="009523DF" w:rsidRDefault="002034A2" w:rsidP="002034A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523D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1630,5</w:t>
            </w:r>
          </w:p>
        </w:tc>
      </w:tr>
      <w:tr w:rsidR="009523DF" w:rsidRPr="009523DF" w14:paraId="27C9DB46" w14:textId="77777777" w:rsidTr="009523DF">
        <w:tc>
          <w:tcPr>
            <w:tcW w:w="8046" w:type="dxa"/>
          </w:tcPr>
          <w:p w14:paraId="3513A1E0" w14:textId="77777777" w:rsidR="002034A2" w:rsidRPr="009523DF" w:rsidRDefault="002034A2" w:rsidP="002034A2">
            <w:pPr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23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на конец года</w:t>
            </w:r>
          </w:p>
        </w:tc>
        <w:tc>
          <w:tcPr>
            <w:tcW w:w="1525" w:type="dxa"/>
            <w:vAlign w:val="center"/>
          </w:tcPr>
          <w:p w14:paraId="4D35E61E" w14:textId="77777777" w:rsidR="002034A2" w:rsidRPr="009523DF" w:rsidRDefault="002034A2" w:rsidP="002034A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23D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1633,9</w:t>
            </w:r>
          </w:p>
        </w:tc>
      </w:tr>
      <w:tr w:rsidR="009523DF" w:rsidRPr="009523DF" w14:paraId="6A8D7644" w14:textId="77777777" w:rsidTr="009523DF">
        <w:tc>
          <w:tcPr>
            <w:tcW w:w="8046" w:type="dxa"/>
          </w:tcPr>
          <w:p w14:paraId="05EDE61F" w14:textId="77777777" w:rsidR="002034A2" w:rsidRPr="009523DF" w:rsidRDefault="002034A2" w:rsidP="002034A2">
            <w:pPr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23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Число родившихся, чел.</w:t>
            </w:r>
          </w:p>
        </w:tc>
        <w:tc>
          <w:tcPr>
            <w:tcW w:w="1525" w:type="dxa"/>
            <w:vAlign w:val="center"/>
          </w:tcPr>
          <w:p w14:paraId="12A1F700" w14:textId="77777777" w:rsidR="002034A2" w:rsidRPr="009523DF" w:rsidRDefault="002034A2" w:rsidP="002034A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23D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17604</w:t>
            </w:r>
          </w:p>
        </w:tc>
      </w:tr>
      <w:tr w:rsidR="009523DF" w:rsidRPr="009523DF" w14:paraId="06CE4913" w14:textId="77777777" w:rsidTr="009523DF">
        <w:tc>
          <w:tcPr>
            <w:tcW w:w="8046" w:type="dxa"/>
          </w:tcPr>
          <w:p w14:paraId="4FFF028B" w14:textId="77777777" w:rsidR="002034A2" w:rsidRPr="009523DF" w:rsidRDefault="002034A2" w:rsidP="002034A2">
            <w:pPr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23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Число прибывших, чел.</w:t>
            </w:r>
          </w:p>
        </w:tc>
        <w:tc>
          <w:tcPr>
            <w:tcW w:w="1525" w:type="dxa"/>
            <w:vAlign w:val="center"/>
          </w:tcPr>
          <w:p w14:paraId="0511614C" w14:textId="77777777" w:rsidR="002034A2" w:rsidRPr="009523DF" w:rsidRDefault="002034A2" w:rsidP="002034A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23D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53473</w:t>
            </w:r>
          </w:p>
        </w:tc>
      </w:tr>
      <w:tr w:rsidR="009523DF" w:rsidRPr="009523DF" w14:paraId="1B36023A" w14:textId="77777777" w:rsidTr="009523DF">
        <w:tc>
          <w:tcPr>
            <w:tcW w:w="8046" w:type="dxa"/>
          </w:tcPr>
          <w:p w14:paraId="32D614AD" w14:textId="77777777" w:rsidR="002034A2" w:rsidRPr="009523DF" w:rsidRDefault="002034A2" w:rsidP="002034A2">
            <w:pPr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23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Коэффициент жизненности, %</w:t>
            </w:r>
          </w:p>
        </w:tc>
        <w:tc>
          <w:tcPr>
            <w:tcW w:w="1525" w:type="dxa"/>
            <w:vAlign w:val="center"/>
          </w:tcPr>
          <w:p w14:paraId="59E40238" w14:textId="77777777" w:rsidR="002034A2" w:rsidRPr="009523DF" w:rsidRDefault="002034A2" w:rsidP="002034A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23D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103,5</w:t>
            </w:r>
          </w:p>
        </w:tc>
      </w:tr>
      <w:tr w:rsidR="009523DF" w:rsidRPr="009523DF" w14:paraId="04CEC7B2" w14:textId="77777777" w:rsidTr="009523DF">
        <w:tc>
          <w:tcPr>
            <w:tcW w:w="8046" w:type="dxa"/>
          </w:tcPr>
          <w:p w14:paraId="0200236C" w14:textId="77777777" w:rsidR="002034A2" w:rsidRPr="009523DF" w:rsidRDefault="002034A2" w:rsidP="002034A2">
            <w:pPr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23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Среднегодовая доля женщин в возрасте 15-49 лет в общей численности населения.</w:t>
            </w:r>
          </w:p>
        </w:tc>
        <w:tc>
          <w:tcPr>
            <w:tcW w:w="1525" w:type="dxa"/>
            <w:vAlign w:val="center"/>
          </w:tcPr>
          <w:p w14:paraId="5A5B8A20" w14:textId="77777777" w:rsidR="002034A2" w:rsidRPr="009523DF" w:rsidRDefault="002034A2" w:rsidP="002034A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23D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28,5</w:t>
            </w:r>
          </w:p>
        </w:tc>
      </w:tr>
    </w:tbl>
    <w:p w14:paraId="0BCFA885" w14:textId="77777777" w:rsidR="002034A2" w:rsidRPr="009523DF" w:rsidRDefault="002034A2" w:rsidP="002034A2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3D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Определите:</w:t>
      </w:r>
    </w:p>
    <w:p w14:paraId="3880BA47" w14:textId="77777777" w:rsidR="002034A2" w:rsidRPr="009523DF" w:rsidRDefault="002034A2" w:rsidP="009523DF">
      <w:pPr>
        <w:numPr>
          <w:ilvl w:val="0"/>
          <w:numId w:val="2"/>
        </w:numPr>
        <w:tabs>
          <w:tab w:val="left" w:pos="851"/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3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коэффициенты рождаемости, смертности, естественного и механического прироста;</w:t>
      </w:r>
    </w:p>
    <w:p w14:paraId="3D7705F7" w14:textId="77777777" w:rsidR="002034A2" w:rsidRPr="009523DF" w:rsidRDefault="002034A2" w:rsidP="009523DF">
      <w:pPr>
        <w:numPr>
          <w:ilvl w:val="0"/>
          <w:numId w:val="2"/>
        </w:numPr>
        <w:tabs>
          <w:tab w:val="left" w:pos="851"/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число умерших; </w:t>
      </w:r>
    </w:p>
    <w:p w14:paraId="1A2CBC36" w14:textId="77777777" w:rsidR="002034A2" w:rsidRPr="009523DF" w:rsidRDefault="002034A2" w:rsidP="009523DF">
      <w:pPr>
        <w:numPr>
          <w:ilvl w:val="0"/>
          <w:numId w:val="2"/>
        </w:numPr>
        <w:tabs>
          <w:tab w:val="left" w:pos="851"/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3DF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выехавших;</w:t>
      </w:r>
    </w:p>
    <w:p w14:paraId="413D112D" w14:textId="77777777" w:rsidR="002034A2" w:rsidRPr="009523DF" w:rsidRDefault="002034A2" w:rsidP="009523DF">
      <w:pPr>
        <w:numPr>
          <w:ilvl w:val="0"/>
          <w:numId w:val="2"/>
        </w:numPr>
        <w:tabs>
          <w:tab w:val="left" w:pos="851"/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3D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специальный коэффициент рождаемости</w:t>
      </w:r>
    </w:p>
    <w:p w14:paraId="5EC8AF9B" w14:textId="77777777" w:rsidR="002034A2" w:rsidRDefault="002034A2" w:rsidP="002034A2">
      <w:p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5405B95B" w14:textId="77777777" w:rsidR="009523DF" w:rsidRPr="009523DF" w:rsidRDefault="009523DF" w:rsidP="002034A2">
      <w:p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7AA4AF0C" w14:textId="77777777" w:rsidR="00B75B06" w:rsidRPr="009523DF" w:rsidRDefault="00B75B06" w:rsidP="00B75B06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3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Имеются данные на конец года по РФ, млн чел.:</w:t>
      </w:r>
    </w:p>
    <w:p w14:paraId="1ADC5B25" w14:textId="77777777" w:rsidR="00B75B06" w:rsidRPr="009523DF" w:rsidRDefault="00B75B06" w:rsidP="00B75B06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3DF">
        <w:rPr>
          <w:rFonts w:ascii="Times New Roman" w:eastAsia="Calibri" w:hAnsi="Times New Roman" w:cs="Times New Roman"/>
          <w:sz w:val="28"/>
          <w:szCs w:val="28"/>
        </w:rPr>
        <w:t>- численность населения – 146,7</w:t>
      </w:r>
    </w:p>
    <w:p w14:paraId="12A1509E" w14:textId="77777777" w:rsidR="00B75B06" w:rsidRPr="009523DF" w:rsidRDefault="00B75B06" w:rsidP="00B75B06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3DF">
        <w:rPr>
          <w:rFonts w:ascii="Times New Roman" w:eastAsia="Calibri" w:hAnsi="Times New Roman" w:cs="Times New Roman"/>
          <w:sz w:val="28"/>
          <w:szCs w:val="28"/>
        </w:rPr>
        <w:t>- экономически активное население – 66,7</w:t>
      </w:r>
    </w:p>
    <w:p w14:paraId="519E7D63" w14:textId="77777777" w:rsidR="00B75B06" w:rsidRPr="009523DF" w:rsidRDefault="00B75B06" w:rsidP="00B75B06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3DF">
        <w:rPr>
          <w:rFonts w:ascii="Times New Roman" w:eastAsia="Calibri" w:hAnsi="Times New Roman" w:cs="Times New Roman"/>
          <w:sz w:val="28"/>
          <w:szCs w:val="28"/>
        </w:rPr>
        <w:t xml:space="preserve">- безработных, всего – 8,9, </w:t>
      </w:r>
    </w:p>
    <w:p w14:paraId="483D1D73" w14:textId="77777777" w:rsidR="00B75B06" w:rsidRPr="009523DF" w:rsidRDefault="00B75B06" w:rsidP="00B75B06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3DF">
        <w:rPr>
          <w:rFonts w:ascii="Times New Roman" w:eastAsia="Calibri" w:hAnsi="Times New Roman" w:cs="Times New Roman"/>
          <w:sz w:val="28"/>
          <w:szCs w:val="28"/>
        </w:rPr>
        <w:t>в том числе зарегистрированных в службе занятости – 1,93.</w:t>
      </w:r>
    </w:p>
    <w:p w14:paraId="6B9FA07D" w14:textId="77777777" w:rsidR="00B75B06" w:rsidRPr="009523DF" w:rsidRDefault="00B75B06" w:rsidP="00B75B06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3DF">
        <w:rPr>
          <w:rFonts w:ascii="Times New Roman" w:eastAsia="Calibri" w:hAnsi="Times New Roman" w:cs="Times New Roman"/>
          <w:sz w:val="28"/>
          <w:szCs w:val="28"/>
        </w:rPr>
        <w:t xml:space="preserve">Определить: </w:t>
      </w:r>
    </w:p>
    <w:p w14:paraId="65DCC1D6" w14:textId="77777777" w:rsidR="00B75B06" w:rsidRPr="009523DF" w:rsidRDefault="00B75B06" w:rsidP="00B75B06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3DF">
        <w:rPr>
          <w:rFonts w:ascii="Times New Roman" w:eastAsia="Calibri" w:hAnsi="Times New Roman" w:cs="Times New Roman"/>
          <w:sz w:val="28"/>
          <w:szCs w:val="28"/>
        </w:rPr>
        <w:t xml:space="preserve">1) уровень экономически активного населения; </w:t>
      </w:r>
    </w:p>
    <w:p w14:paraId="61051445" w14:textId="77777777" w:rsidR="00B75B06" w:rsidRPr="009523DF" w:rsidRDefault="00B75B06" w:rsidP="00B75B06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3DF">
        <w:rPr>
          <w:rFonts w:ascii="Times New Roman" w:eastAsia="Calibri" w:hAnsi="Times New Roman" w:cs="Times New Roman"/>
          <w:sz w:val="28"/>
          <w:szCs w:val="28"/>
        </w:rPr>
        <w:t xml:space="preserve">2) уровень занятости; </w:t>
      </w:r>
    </w:p>
    <w:p w14:paraId="1AE779A1" w14:textId="77777777" w:rsidR="00B75B06" w:rsidRPr="009523DF" w:rsidRDefault="00B75B06" w:rsidP="00B75B06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3DF">
        <w:rPr>
          <w:rFonts w:ascii="Times New Roman" w:eastAsia="Calibri" w:hAnsi="Times New Roman" w:cs="Times New Roman"/>
          <w:sz w:val="28"/>
          <w:szCs w:val="28"/>
        </w:rPr>
        <w:t xml:space="preserve">3) уровень безработицы; </w:t>
      </w:r>
    </w:p>
    <w:p w14:paraId="3D31D1CE" w14:textId="77777777" w:rsidR="00B75B06" w:rsidRPr="009523DF" w:rsidRDefault="00B75B06" w:rsidP="00B75B06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3DF">
        <w:rPr>
          <w:rFonts w:ascii="Times New Roman" w:eastAsia="Calibri" w:hAnsi="Times New Roman" w:cs="Times New Roman"/>
          <w:sz w:val="28"/>
          <w:szCs w:val="28"/>
        </w:rPr>
        <w:t xml:space="preserve">4) уровень зарегистрированных безработных; </w:t>
      </w:r>
    </w:p>
    <w:p w14:paraId="3B4AAE24" w14:textId="77777777" w:rsidR="00B75B06" w:rsidRPr="009523DF" w:rsidRDefault="00B75B06" w:rsidP="00B75B06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3DF">
        <w:rPr>
          <w:rFonts w:ascii="Times New Roman" w:eastAsia="Calibri" w:hAnsi="Times New Roman" w:cs="Times New Roman"/>
          <w:sz w:val="28"/>
          <w:szCs w:val="28"/>
        </w:rPr>
        <w:t>5) коэффициент нагрузки на 1 занятого в экономике.</w:t>
      </w:r>
    </w:p>
    <w:p w14:paraId="3B0780E8" w14:textId="77777777" w:rsidR="00B75B06" w:rsidRPr="009523DF" w:rsidRDefault="00B75B06" w:rsidP="002034A2">
      <w:p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29E9185A" w14:textId="77777777" w:rsidR="006B19C1" w:rsidRPr="009523DF" w:rsidRDefault="006B19C1">
      <w:pP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3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 w:type="page"/>
      </w:r>
    </w:p>
    <w:p w14:paraId="6E5806E4" w14:textId="77777777" w:rsidR="001175CA" w:rsidRPr="009523DF" w:rsidRDefault="001175CA" w:rsidP="001175CA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3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 xml:space="preserve">Имеются следующие условные данные по области. </w:t>
      </w:r>
    </w:p>
    <w:p w14:paraId="420D3CA2" w14:textId="77777777" w:rsidR="001175CA" w:rsidRPr="009523DF" w:rsidRDefault="001175CA" w:rsidP="001175CA">
      <w:pPr>
        <w:pStyle w:val="a9"/>
        <w:spacing w:line="240" w:lineRule="auto"/>
        <w:contextualSpacing/>
        <w:rPr>
          <w:color w:val="auto"/>
          <w:spacing w:val="0"/>
        </w:rPr>
      </w:pPr>
      <w:r w:rsidRPr="009523DF">
        <w:rPr>
          <w:color w:val="auto"/>
          <w:spacing w:val="0"/>
        </w:rPr>
        <w:t xml:space="preserve">1. Численность трудоспособного населения рабочего возраста на начало года - 1070,0 тыс. чел., а численность работающих лиц нерабочего возраста - 30,0 тыс. чел. </w:t>
      </w:r>
    </w:p>
    <w:p w14:paraId="10DBEA99" w14:textId="77777777" w:rsidR="001175CA" w:rsidRPr="009523DF" w:rsidRDefault="001175CA" w:rsidP="001175CA">
      <w:pPr>
        <w:pStyle w:val="a9"/>
        <w:spacing w:line="240" w:lineRule="auto"/>
        <w:contextualSpacing/>
        <w:rPr>
          <w:color w:val="auto"/>
          <w:spacing w:val="0"/>
        </w:rPr>
      </w:pPr>
      <w:r w:rsidRPr="009523DF">
        <w:rPr>
          <w:color w:val="auto"/>
          <w:spacing w:val="0"/>
        </w:rPr>
        <w:t xml:space="preserve">2. В течение года: </w:t>
      </w:r>
    </w:p>
    <w:p w14:paraId="5FC39798" w14:textId="77777777" w:rsidR="001175CA" w:rsidRPr="009523DF" w:rsidRDefault="001175CA" w:rsidP="001175CA">
      <w:pPr>
        <w:pStyle w:val="a9"/>
        <w:spacing w:line="240" w:lineRule="auto"/>
        <w:contextualSpacing/>
        <w:rPr>
          <w:color w:val="auto"/>
          <w:spacing w:val="0"/>
        </w:rPr>
      </w:pPr>
      <w:r w:rsidRPr="009523DF">
        <w:rPr>
          <w:color w:val="auto"/>
          <w:spacing w:val="0"/>
        </w:rPr>
        <w:t xml:space="preserve">1) вступило в рабочий возраст трудоспособных лиц - 40 тыс. чел.; </w:t>
      </w:r>
    </w:p>
    <w:p w14:paraId="6D9B7BE8" w14:textId="77777777" w:rsidR="001175CA" w:rsidRPr="009523DF" w:rsidRDefault="001175CA" w:rsidP="001175CA">
      <w:pPr>
        <w:pStyle w:val="a9"/>
        <w:spacing w:line="240" w:lineRule="auto"/>
        <w:contextualSpacing/>
        <w:rPr>
          <w:color w:val="auto"/>
          <w:spacing w:val="0"/>
        </w:rPr>
      </w:pPr>
      <w:r w:rsidRPr="009523DF">
        <w:rPr>
          <w:color w:val="auto"/>
          <w:spacing w:val="0"/>
        </w:rPr>
        <w:t xml:space="preserve">2) вовлечено для работы в отраслях экономики - 10 тыс. чел. пенсионного возраста; </w:t>
      </w:r>
    </w:p>
    <w:p w14:paraId="00ED5D62" w14:textId="77777777" w:rsidR="001175CA" w:rsidRPr="009523DF" w:rsidRDefault="001175CA" w:rsidP="001175CA">
      <w:pPr>
        <w:pStyle w:val="a9"/>
        <w:spacing w:line="240" w:lineRule="auto"/>
        <w:contextualSpacing/>
        <w:rPr>
          <w:color w:val="auto"/>
          <w:spacing w:val="0"/>
        </w:rPr>
      </w:pPr>
      <w:r w:rsidRPr="009523DF">
        <w:rPr>
          <w:color w:val="auto"/>
          <w:spacing w:val="0"/>
        </w:rPr>
        <w:t xml:space="preserve">3) прибыло из других областей трудоспособных лиц рабочего возраста - 30 тыс. чел.; </w:t>
      </w:r>
    </w:p>
    <w:p w14:paraId="2D2433DF" w14:textId="77777777" w:rsidR="001175CA" w:rsidRPr="009523DF" w:rsidRDefault="001175CA" w:rsidP="001175CA">
      <w:pPr>
        <w:pStyle w:val="a9"/>
        <w:spacing w:line="240" w:lineRule="auto"/>
        <w:contextualSpacing/>
        <w:rPr>
          <w:color w:val="auto"/>
          <w:spacing w:val="0"/>
        </w:rPr>
      </w:pPr>
      <w:r w:rsidRPr="009523DF">
        <w:rPr>
          <w:color w:val="auto"/>
          <w:spacing w:val="0"/>
        </w:rPr>
        <w:t xml:space="preserve">4) выбыло из состава трудовых ресурсов (в связи с переходом в пенсионный возраст, на инвалидность, вследствие смертности и т.д.) трудоспособного населения - 29 тыс. чел.; лиц нерабочего возраста - 8 тыс. чел.; </w:t>
      </w:r>
    </w:p>
    <w:p w14:paraId="60E6BF7D" w14:textId="77777777" w:rsidR="001175CA" w:rsidRPr="009523DF" w:rsidRDefault="001175CA" w:rsidP="001175CA">
      <w:pPr>
        <w:pStyle w:val="a9"/>
        <w:spacing w:line="240" w:lineRule="auto"/>
        <w:contextualSpacing/>
        <w:rPr>
          <w:color w:val="auto"/>
          <w:spacing w:val="0"/>
        </w:rPr>
      </w:pPr>
      <w:r w:rsidRPr="009523DF">
        <w:rPr>
          <w:color w:val="auto"/>
          <w:spacing w:val="0"/>
        </w:rPr>
        <w:t xml:space="preserve">5) выбыло в другие области - 13 тыс. трудоспособных лиц рабочего возраста. </w:t>
      </w:r>
    </w:p>
    <w:p w14:paraId="0F4CFCB6" w14:textId="77777777" w:rsidR="001175CA" w:rsidRPr="009523DF" w:rsidRDefault="001175CA" w:rsidP="001175CA">
      <w:pPr>
        <w:pStyle w:val="a9"/>
        <w:spacing w:line="240" w:lineRule="auto"/>
        <w:contextualSpacing/>
        <w:rPr>
          <w:color w:val="auto"/>
          <w:spacing w:val="0"/>
        </w:rPr>
      </w:pPr>
      <w:r w:rsidRPr="009523DF">
        <w:rPr>
          <w:color w:val="auto"/>
          <w:spacing w:val="0"/>
        </w:rPr>
        <w:t xml:space="preserve">Определите: </w:t>
      </w:r>
    </w:p>
    <w:p w14:paraId="17878944" w14:textId="77777777" w:rsidR="001175CA" w:rsidRPr="009523DF" w:rsidRDefault="001175CA" w:rsidP="001175CA">
      <w:pPr>
        <w:pStyle w:val="a9"/>
        <w:spacing w:line="240" w:lineRule="auto"/>
        <w:contextualSpacing/>
        <w:rPr>
          <w:color w:val="auto"/>
          <w:spacing w:val="0"/>
        </w:rPr>
      </w:pPr>
      <w:r w:rsidRPr="009523DF">
        <w:rPr>
          <w:color w:val="auto"/>
          <w:spacing w:val="0"/>
        </w:rPr>
        <w:t xml:space="preserve">1) численность трудовых ресурсов на начало года; </w:t>
      </w:r>
    </w:p>
    <w:p w14:paraId="45A9C38E" w14:textId="77777777" w:rsidR="001175CA" w:rsidRPr="009523DF" w:rsidRDefault="001175CA" w:rsidP="001175CA">
      <w:pPr>
        <w:pStyle w:val="a9"/>
        <w:spacing w:line="240" w:lineRule="auto"/>
        <w:contextualSpacing/>
        <w:rPr>
          <w:color w:val="auto"/>
          <w:spacing w:val="0"/>
        </w:rPr>
      </w:pPr>
      <w:bookmarkStart w:id="0" w:name="195"/>
      <w:bookmarkEnd w:id="0"/>
      <w:r w:rsidRPr="009523DF">
        <w:rPr>
          <w:color w:val="auto"/>
          <w:spacing w:val="0"/>
        </w:rPr>
        <w:t xml:space="preserve">2) на конец года: численность трудоспособных лиц рабочего возраста; численность работающих лиц нерабочего возраста; численность трудовых ресурсов; </w:t>
      </w:r>
    </w:p>
    <w:p w14:paraId="1CBFEDDD" w14:textId="77777777" w:rsidR="001175CA" w:rsidRPr="009523DF" w:rsidRDefault="001175CA" w:rsidP="001175CA">
      <w:pPr>
        <w:pStyle w:val="a9"/>
        <w:spacing w:line="240" w:lineRule="auto"/>
        <w:contextualSpacing/>
        <w:rPr>
          <w:color w:val="auto"/>
          <w:spacing w:val="0"/>
        </w:rPr>
      </w:pPr>
      <w:r w:rsidRPr="009523DF">
        <w:rPr>
          <w:color w:val="auto"/>
          <w:spacing w:val="0"/>
        </w:rPr>
        <w:t xml:space="preserve">3) численность естественного, механического и общего пополнения, выбытия и прироста трудовых ресурсов; </w:t>
      </w:r>
    </w:p>
    <w:p w14:paraId="0A14F182" w14:textId="77777777" w:rsidR="001175CA" w:rsidRPr="009523DF" w:rsidRDefault="001175CA" w:rsidP="001175CA">
      <w:pPr>
        <w:pStyle w:val="a9"/>
        <w:spacing w:line="240" w:lineRule="auto"/>
        <w:contextualSpacing/>
        <w:rPr>
          <w:color w:val="auto"/>
          <w:spacing w:val="0"/>
        </w:rPr>
      </w:pPr>
      <w:r w:rsidRPr="009523DF">
        <w:rPr>
          <w:color w:val="auto"/>
          <w:spacing w:val="0"/>
        </w:rPr>
        <w:t xml:space="preserve">4) среднегодовую численность трудовых ресурсов; </w:t>
      </w:r>
    </w:p>
    <w:p w14:paraId="6081C0DF" w14:textId="77777777" w:rsidR="001175CA" w:rsidRPr="009523DF" w:rsidRDefault="001175CA" w:rsidP="001175CA">
      <w:pPr>
        <w:pStyle w:val="a9"/>
        <w:spacing w:line="240" w:lineRule="auto"/>
        <w:contextualSpacing/>
        <w:rPr>
          <w:color w:val="auto"/>
          <w:spacing w:val="0"/>
        </w:rPr>
      </w:pPr>
      <w:r w:rsidRPr="009523DF">
        <w:rPr>
          <w:color w:val="auto"/>
          <w:spacing w:val="0"/>
        </w:rPr>
        <w:t xml:space="preserve">5) коэффициенты естественного, механического и общего пополнения, выбытия и прироста трудовых ресурсов. </w:t>
      </w:r>
    </w:p>
    <w:p w14:paraId="6CD11123" w14:textId="77777777" w:rsidR="002034A2" w:rsidRPr="009523DF" w:rsidRDefault="002034A2" w:rsidP="002034A2">
      <w:p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sectPr w:rsidR="002034A2" w:rsidRPr="009523DF" w:rsidSect="00476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5637A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" w15:restartNumberingAfterBreak="0">
    <w:nsid w:val="29B011FE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2" w15:restartNumberingAfterBreak="0">
    <w:nsid w:val="2EEE2E7D"/>
    <w:multiLevelType w:val="hybridMultilevel"/>
    <w:tmpl w:val="F2BA5FC2"/>
    <w:lvl w:ilvl="0" w:tplc="2ADA6CB0">
      <w:start w:val="1"/>
      <w:numFmt w:val="russianLower"/>
      <w:lvlText w:val="%1)"/>
      <w:lvlJc w:val="left"/>
      <w:pPr>
        <w:ind w:left="1429" w:hanging="360"/>
      </w:pPr>
      <w:rPr>
        <w:rFonts w:hint="default"/>
        <w:spacing w:val="0"/>
        <w:w w:val="100"/>
        <w:kern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EFD6356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4" w15:restartNumberingAfterBreak="0">
    <w:nsid w:val="4734495A"/>
    <w:multiLevelType w:val="multilevel"/>
    <w:tmpl w:val="BC5CA08E"/>
    <w:lvl w:ilvl="0">
      <w:start w:val="1"/>
      <w:numFmt w:val="russianLow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5" w15:restartNumberingAfterBreak="0">
    <w:nsid w:val="4C743C46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6" w15:restartNumberingAfterBreak="0">
    <w:nsid w:val="50076166"/>
    <w:multiLevelType w:val="hybridMultilevel"/>
    <w:tmpl w:val="C062F6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1CA5A45"/>
    <w:multiLevelType w:val="hybridMultilevel"/>
    <w:tmpl w:val="F2BA5FC2"/>
    <w:lvl w:ilvl="0" w:tplc="2ADA6CB0">
      <w:start w:val="1"/>
      <w:numFmt w:val="russianLower"/>
      <w:lvlText w:val="%1)"/>
      <w:lvlJc w:val="left"/>
      <w:pPr>
        <w:ind w:left="1429" w:hanging="360"/>
      </w:pPr>
      <w:rPr>
        <w:rFonts w:hint="default"/>
        <w:spacing w:val="0"/>
        <w:w w:val="100"/>
        <w:kern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BFC78F2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6"/>
  </w:num>
  <w:num w:numId="5">
    <w:abstractNumId w:val="2"/>
  </w:num>
  <w:num w:numId="6">
    <w:abstractNumId w:val="1"/>
  </w:num>
  <w:num w:numId="7">
    <w:abstractNumId w:val="5"/>
  </w:num>
  <w:num w:numId="8">
    <w:abstractNumId w:val="8"/>
  </w:num>
  <w:num w:numId="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3D2D"/>
    <w:rsid w:val="00016593"/>
    <w:rsid w:val="00031F9B"/>
    <w:rsid w:val="00032D50"/>
    <w:rsid w:val="00044EC9"/>
    <w:rsid w:val="0004550E"/>
    <w:rsid w:val="000549CE"/>
    <w:rsid w:val="000647D6"/>
    <w:rsid w:val="000A0EC5"/>
    <w:rsid w:val="000A5AC1"/>
    <w:rsid w:val="000E3542"/>
    <w:rsid w:val="000F0DBE"/>
    <w:rsid w:val="000F4A03"/>
    <w:rsid w:val="00110601"/>
    <w:rsid w:val="001122AB"/>
    <w:rsid w:val="001122BB"/>
    <w:rsid w:val="001175CA"/>
    <w:rsid w:val="0018019B"/>
    <w:rsid w:val="00196FB5"/>
    <w:rsid w:val="00197E78"/>
    <w:rsid w:val="001B2E50"/>
    <w:rsid w:val="001C32E4"/>
    <w:rsid w:val="001C6511"/>
    <w:rsid w:val="001E00C3"/>
    <w:rsid w:val="00201BB5"/>
    <w:rsid w:val="002034A2"/>
    <w:rsid w:val="00215908"/>
    <w:rsid w:val="00215EB3"/>
    <w:rsid w:val="002160AC"/>
    <w:rsid w:val="002371ED"/>
    <w:rsid w:val="0024144C"/>
    <w:rsid w:val="002754F2"/>
    <w:rsid w:val="00287FDB"/>
    <w:rsid w:val="00295780"/>
    <w:rsid w:val="002A2733"/>
    <w:rsid w:val="002B01C9"/>
    <w:rsid w:val="002B3B88"/>
    <w:rsid w:val="002C4967"/>
    <w:rsid w:val="002D79D3"/>
    <w:rsid w:val="002E0670"/>
    <w:rsid w:val="003127F1"/>
    <w:rsid w:val="003325BF"/>
    <w:rsid w:val="0034523A"/>
    <w:rsid w:val="00351D18"/>
    <w:rsid w:val="003531A2"/>
    <w:rsid w:val="00357DA9"/>
    <w:rsid w:val="003867B6"/>
    <w:rsid w:val="00386B03"/>
    <w:rsid w:val="00386F1F"/>
    <w:rsid w:val="003B423D"/>
    <w:rsid w:val="003B434C"/>
    <w:rsid w:val="003D39A6"/>
    <w:rsid w:val="003D713A"/>
    <w:rsid w:val="003E1FC6"/>
    <w:rsid w:val="0040170E"/>
    <w:rsid w:val="00407CE4"/>
    <w:rsid w:val="00411132"/>
    <w:rsid w:val="004427F4"/>
    <w:rsid w:val="00442E76"/>
    <w:rsid w:val="0044647A"/>
    <w:rsid w:val="00476B33"/>
    <w:rsid w:val="0048056E"/>
    <w:rsid w:val="00484DAE"/>
    <w:rsid w:val="0048623C"/>
    <w:rsid w:val="004949FA"/>
    <w:rsid w:val="004A76C2"/>
    <w:rsid w:val="004D1A93"/>
    <w:rsid w:val="004D7638"/>
    <w:rsid w:val="004E6DF3"/>
    <w:rsid w:val="004F2B3F"/>
    <w:rsid w:val="004F7CDC"/>
    <w:rsid w:val="005016FE"/>
    <w:rsid w:val="00502B3B"/>
    <w:rsid w:val="005448F4"/>
    <w:rsid w:val="00545D88"/>
    <w:rsid w:val="00546124"/>
    <w:rsid w:val="00574C72"/>
    <w:rsid w:val="0058441F"/>
    <w:rsid w:val="00584CA6"/>
    <w:rsid w:val="005B05B6"/>
    <w:rsid w:val="005B2DFA"/>
    <w:rsid w:val="005F60FA"/>
    <w:rsid w:val="006011B6"/>
    <w:rsid w:val="00601B6D"/>
    <w:rsid w:val="00610281"/>
    <w:rsid w:val="00637831"/>
    <w:rsid w:val="00643367"/>
    <w:rsid w:val="00647AFA"/>
    <w:rsid w:val="0065351D"/>
    <w:rsid w:val="00654020"/>
    <w:rsid w:val="00654626"/>
    <w:rsid w:val="006574DC"/>
    <w:rsid w:val="00662BC7"/>
    <w:rsid w:val="006808FB"/>
    <w:rsid w:val="006961FE"/>
    <w:rsid w:val="006A7B7B"/>
    <w:rsid w:val="006A7DC8"/>
    <w:rsid w:val="006B19C1"/>
    <w:rsid w:val="006C0A19"/>
    <w:rsid w:val="006D00A3"/>
    <w:rsid w:val="006D4A94"/>
    <w:rsid w:val="006E7E58"/>
    <w:rsid w:val="006F6344"/>
    <w:rsid w:val="006F6F53"/>
    <w:rsid w:val="007064CE"/>
    <w:rsid w:val="00712CC5"/>
    <w:rsid w:val="00730A4C"/>
    <w:rsid w:val="00735717"/>
    <w:rsid w:val="00754D76"/>
    <w:rsid w:val="007609AC"/>
    <w:rsid w:val="00780C6E"/>
    <w:rsid w:val="00782A62"/>
    <w:rsid w:val="00787F9B"/>
    <w:rsid w:val="0079770E"/>
    <w:rsid w:val="007B7EAA"/>
    <w:rsid w:val="007F1FEA"/>
    <w:rsid w:val="00801B5B"/>
    <w:rsid w:val="00845CDC"/>
    <w:rsid w:val="00865AE6"/>
    <w:rsid w:val="008763DB"/>
    <w:rsid w:val="00897957"/>
    <w:rsid w:val="008A459A"/>
    <w:rsid w:val="008C308B"/>
    <w:rsid w:val="008F46EB"/>
    <w:rsid w:val="0091638A"/>
    <w:rsid w:val="0094319D"/>
    <w:rsid w:val="009523DF"/>
    <w:rsid w:val="00970E75"/>
    <w:rsid w:val="00992E61"/>
    <w:rsid w:val="00993592"/>
    <w:rsid w:val="009A6C7B"/>
    <w:rsid w:val="009D498B"/>
    <w:rsid w:val="009D7E68"/>
    <w:rsid w:val="009E0513"/>
    <w:rsid w:val="009E57A2"/>
    <w:rsid w:val="009F4B2A"/>
    <w:rsid w:val="00A00528"/>
    <w:rsid w:val="00A07CAE"/>
    <w:rsid w:val="00A11FE4"/>
    <w:rsid w:val="00A214DA"/>
    <w:rsid w:val="00A30190"/>
    <w:rsid w:val="00A377C4"/>
    <w:rsid w:val="00A63B6A"/>
    <w:rsid w:val="00A7098C"/>
    <w:rsid w:val="00A81681"/>
    <w:rsid w:val="00A81DE0"/>
    <w:rsid w:val="00A83B16"/>
    <w:rsid w:val="00A87862"/>
    <w:rsid w:val="00A87AC0"/>
    <w:rsid w:val="00A9055B"/>
    <w:rsid w:val="00A90914"/>
    <w:rsid w:val="00AA111E"/>
    <w:rsid w:val="00AD50F9"/>
    <w:rsid w:val="00AF566F"/>
    <w:rsid w:val="00B14714"/>
    <w:rsid w:val="00B1637F"/>
    <w:rsid w:val="00B16B03"/>
    <w:rsid w:val="00B46160"/>
    <w:rsid w:val="00B75B06"/>
    <w:rsid w:val="00B91EF8"/>
    <w:rsid w:val="00B92696"/>
    <w:rsid w:val="00BB437E"/>
    <w:rsid w:val="00BC2A0B"/>
    <w:rsid w:val="00BE0621"/>
    <w:rsid w:val="00BF5080"/>
    <w:rsid w:val="00BF7F90"/>
    <w:rsid w:val="00C03D2D"/>
    <w:rsid w:val="00C21C12"/>
    <w:rsid w:val="00C440E0"/>
    <w:rsid w:val="00C50DAF"/>
    <w:rsid w:val="00C52242"/>
    <w:rsid w:val="00C60955"/>
    <w:rsid w:val="00C61A3B"/>
    <w:rsid w:val="00C70889"/>
    <w:rsid w:val="00CA12C2"/>
    <w:rsid w:val="00CC349C"/>
    <w:rsid w:val="00CD5B84"/>
    <w:rsid w:val="00CF2122"/>
    <w:rsid w:val="00CF470B"/>
    <w:rsid w:val="00D402CD"/>
    <w:rsid w:val="00D57D2C"/>
    <w:rsid w:val="00D70CC7"/>
    <w:rsid w:val="00D86481"/>
    <w:rsid w:val="00DA0B30"/>
    <w:rsid w:val="00DA0C59"/>
    <w:rsid w:val="00DC7282"/>
    <w:rsid w:val="00DD0592"/>
    <w:rsid w:val="00DD1C78"/>
    <w:rsid w:val="00DD47F6"/>
    <w:rsid w:val="00DE17AB"/>
    <w:rsid w:val="00DF3F2D"/>
    <w:rsid w:val="00E15D9E"/>
    <w:rsid w:val="00E31F0D"/>
    <w:rsid w:val="00E357FC"/>
    <w:rsid w:val="00E54B53"/>
    <w:rsid w:val="00E569E6"/>
    <w:rsid w:val="00E61044"/>
    <w:rsid w:val="00E64D91"/>
    <w:rsid w:val="00E94712"/>
    <w:rsid w:val="00EC5FA0"/>
    <w:rsid w:val="00EE5D40"/>
    <w:rsid w:val="00F010D4"/>
    <w:rsid w:val="00F05203"/>
    <w:rsid w:val="00F158CB"/>
    <w:rsid w:val="00F25094"/>
    <w:rsid w:val="00F369DF"/>
    <w:rsid w:val="00F40ABF"/>
    <w:rsid w:val="00F67CCE"/>
    <w:rsid w:val="00F73080"/>
    <w:rsid w:val="00F74E9F"/>
    <w:rsid w:val="00F94EAB"/>
    <w:rsid w:val="00F95BE7"/>
    <w:rsid w:val="00FB6B10"/>
    <w:rsid w:val="00FC1372"/>
    <w:rsid w:val="00FD14B2"/>
    <w:rsid w:val="00FE2C2F"/>
    <w:rsid w:val="00FF2133"/>
    <w:rsid w:val="00FF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56C267E"/>
  <w15:docId w15:val="{4714B504-0508-44B8-B98B-3F8CB429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08B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8C308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D1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1A93"/>
    <w:rPr>
      <w:rFonts w:ascii="Tahoma" w:hAnsi="Tahoma" w:cs="Tahoma"/>
      <w:sz w:val="16"/>
      <w:szCs w:val="16"/>
    </w:rPr>
  </w:style>
  <w:style w:type="paragraph" w:customStyle="1" w:styleId="a7">
    <w:name w:val="Практикум"/>
    <w:basedOn w:val="a"/>
    <w:rsid w:val="001801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8">
    <w:name w:val="Table Grid"/>
    <w:basedOn w:val="a1"/>
    <w:uiPriority w:val="59"/>
    <w:rsid w:val="00DD4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59"/>
    <w:rsid w:val="002034A2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АТ"/>
    <w:basedOn w:val="a"/>
    <w:rsid w:val="001175CA"/>
    <w:pPr>
      <w:shd w:val="clear" w:color="auto" w:fill="FFFFFF"/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color w:val="000000"/>
      <w:spacing w:val="2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4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BA8689-C824-4294-AE7F-705E5259A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1177</TotalTime>
  <Pages>1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Родина</dc:creator>
  <cp:keywords/>
  <dc:description/>
  <cp:lastModifiedBy>Юрий</cp:lastModifiedBy>
  <cp:revision>78</cp:revision>
  <dcterms:created xsi:type="dcterms:W3CDTF">2015-03-22T13:10:00Z</dcterms:created>
  <dcterms:modified xsi:type="dcterms:W3CDTF">2022-01-12T11:06:00Z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